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Đơn vị: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Mẫu số 06-TSCĐ (Ban hành theo Thông tư 200/2014/TT-BTC và Thông tư 133/2016/TT-BTC)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BẢNG TÍNH VÀ PHÂN BỔ KHẤU HAO TÀI SẢN CỐ ĐỊNH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Tháng ...... năm 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Chi tiết tính và phân bổ khấu hao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cột: STT | Chỉ tiêu | Thời gian sử dụng (tháng/năm) | Nguyên giá tài sản cố định | Số khấu hao trong kỳ | Phân bổ cho bộ phận sản xuất | Phân bổ cho bộ phận bán hàng | Phân bổ cho bộ phận quản lý doanh nghiệp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I. Số khấu hao đã trích kỳ trước: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II. Số khấu hao tăng trong kỳ (tài sản mới đưa vào sử dụng):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III. Số khấu hao giảm trong kỳ (tài sản thanh lý, nhượng bán, hết khấu hao):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2. ................................................................................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IV. Số khấu hao phải trích trong kỳ này: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   (bằng số khấu hao kỳ trước cộng tăng trừ giảm)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Trong đó phân bổ cho: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Bộ phận sản xuất: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Bộ phận bán hàng: ................................................ đồng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Bộ phận quản lý doanh nghiệp: ................................................ đồng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Ngày ...... tháng ...... năm 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LẬP BIỂU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KẾ TOÁN TRƯỞNG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